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804"/>
        <w:gridCol w:w="1129"/>
      </w:tblGrid>
      <w:tr w:rsidR="00215D08" w:rsidTr="00BD52D9">
        <w:tc>
          <w:tcPr>
            <w:tcW w:w="1129" w:type="dxa"/>
          </w:tcPr>
          <w:p w:rsidR="00215D08" w:rsidRDefault="00215D08">
            <w:bookmarkStart w:id="0" w:name="_GoBack"/>
            <w:bookmarkEnd w:id="0"/>
            <w:r>
              <w:t>Verze č. 1</w:t>
            </w:r>
          </w:p>
        </w:tc>
        <w:tc>
          <w:tcPr>
            <w:tcW w:w="6804" w:type="dxa"/>
          </w:tcPr>
          <w:p w:rsidR="00215D08" w:rsidRPr="00BD52D9" w:rsidRDefault="00215D08" w:rsidP="00BD52D9">
            <w:pPr>
              <w:jc w:val="center"/>
              <w:rPr>
                <w:b/>
                <w:sz w:val="28"/>
                <w:szCs w:val="28"/>
              </w:rPr>
            </w:pPr>
            <w:r w:rsidRPr="00BD52D9">
              <w:rPr>
                <w:b/>
                <w:sz w:val="28"/>
                <w:szCs w:val="28"/>
              </w:rPr>
              <w:t>Metodický pokyn k praktickému uplatnění Metodiky hodnocení inovací pomocí indexu SAII</w:t>
            </w:r>
          </w:p>
          <w:p w:rsidR="00215D08" w:rsidRDefault="00215D08"/>
        </w:tc>
        <w:tc>
          <w:tcPr>
            <w:tcW w:w="1129" w:type="dxa"/>
          </w:tcPr>
          <w:p w:rsidR="00215D08" w:rsidRDefault="00215D08">
            <w:r>
              <w:t>Výtisk č. 1</w:t>
            </w:r>
          </w:p>
        </w:tc>
      </w:tr>
    </w:tbl>
    <w:p w:rsidR="00215D08" w:rsidRDefault="00215D08"/>
    <w:p w:rsidR="000F41B2" w:rsidRDefault="00CD1FB5" w:rsidP="00CD1FB5">
      <w:pPr>
        <w:pStyle w:val="Odstavecseseznamem"/>
        <w:numPr>
          <w:ilvl w:val="0"/>
          <w:numId w:val="2"/>
        </w:numPr>
        <w:rPr>
          <w:b/>
        </w:rPr>
      </w:pPr>
      <w:r w:rsidRPr="00CD1FB5">
        <w:rPr>
          <w:b/>
        </w:rPr>
        <w:t>Vymezení platnosti Metodického pokynu</w:t>
      </w:r>
    </w:p>
    <w:p w:rsidR="00CD1FB5" w:rsidRPr="00CD1FB5" w:rsidRDefault="00CD1FB5" w:rsidP="00CD1FB5">
      <w:pPr>
        <w:jc w:val="both"/>
      </w:pPr>
      <w:r w:rsidRPr="00CD1FB5">
        <w:t xml:space="preserve">Tento metodický pokyn </w:t>
      </w:r>
      <w:r w:rsidR="00462FA1">
        <w:t>je závazný pro</w:t>
      </w:r>
      <w:r w:rsidRPr="00CD1FB5">
        <w:t xml:space="preserve"> všechny pracovníky organizace, kteří využívají Metodiku hodnocení inovací pomocí SAII</w:t>
      </w:r>
      <w:r w:rsidR="00462FA1">
        <w:t xml:space="preserve"> (SW i tištěnou verzi)</w:t>
      </w:r>
      <w:r>
        <w:t>.</w:t>
      </w:r>
      <w:r w:rsidRPr="00CD1FB5">
        <w:t xml:space="preserve"> </w:t>
      </w:r>
    </w:p>
    <w:p w:rsidR="0077312A" w:rsidRPr="00F6196C" w:rsidRDefault="0077312A" w:rsidP="00F6196C">
      <w:pPr>
        <w:pStyle w:val="Odstavecseseznamem"/>
        <w:numPr>
          <w:ilvl w:val="0"/>
          <w:numId w:val="2"/>
        </w:numPr>
        <w:rPr>
          <w:b/>
        </w:rPr>
      </w:pPr>
      <w:r w:rsidRPr="00F6196C">
        <w:rPr>
          <w:b/>
        </w:rPr>
        <w:t>Cíl metodiky</w:t>
      </w:r>
      <w:r w:rsidR="00CD1FB5">
        <w:rPr>
          <w:b/>
        </w:rPr>
        <w:t xml:space="preserve"> SAII</w:t>
      </w:r>
    </w:p>
    <w:p w:rsidR="0077312A" w:rsidRPr="00A6422E" w:rsidRDefault="0077312A" w:rsidP="0077312A">
      <w:pPr>
        <w:jc w:val="both"/>
      </w:pPr>
      <w:r w:rsidRPr="003B2B5D">
        <w:t xml:space="preserve">Cílem </w:t>
      </w:r>
      <w:r>
        <w:t>metodiky</w:t>
      </w:r>
      <w:r w:rsidRPr="003B2B5D">
        <w:t xml:space="preserve"> </w:t>
      </w:r>
      <w:r>
        <w:t>bylo</w:t>
      </w:r>
      <w:r w:rsidRPr="003B2B5D">
        <w:t xml:space="preserve"> vytvořit a otest</w:t>
      </w:r>
      <w:r>
        <w:t>ovat multikriteriální model hodnocení inovací, který by umožnil transparentním způsobem vyhodnotit inovační potenciál organizace. Vícekriteriální hodnocení, které zahrnuje tzv. tvrdé i měkké metriky, je promítnuto do jednoho, jasně interpretovatelného hodnotícího indexu (</w:t>
      </w:r>
      <w:r w:rsidRPr="00186CE2">
        <w:rPr>
          <w:i/>
        </w:rPr>
        <w:t>Self Assessment Innovation Index - SAII</w:t>
      </w:r>
      <w:r>
        <w:t xml:space="preserve">), který je následně korelován s příslušnou kategorií inovativnosti, resp. pozicí na inovační škále. Model hodnocení umožňuje identifikaci inovačního potenciálu organizace i v jednotlivých subkategoriích (např. koncepční aktivity organizace, řízení zdrojů, manažerská infrastruktura, finanční hodnocení inovačních výstupů apod.). Tímto způsobem je umožněno organizacím přesněji identifikovat problémy ve vlastním inovačním procesu a následně přijmout nápravná opatření ke zkvalitnění jeho řízení. </w:t>
      </w:r>
      <w:r w:rsidRPr="003B2B5D">
        <w:t>Navržený model</w:t>
      </w:r>
      <w:r>
        <w:t xml:space="preserve">, využívající SW rozhraní, tak nachází univerzální </w:t>
      </w:r>
      <w:r w:rsidRPr="003B2B5D">
        <w:t xml:space="preserve">uplatnění pro hodnocení </w:t>
      </w:r>
      <w:r>
        <w:t>inovačního statusu organizace</w:t>
      </w:r>
      <w:r w:rsidRPr="003B2B5D">
        <w:t xml:space="preserve">. </w:t>
      </w:r>
    </w:p>
    <w:p w:rsidR="00BD52D9" w:rsidRPr="00F6196C" w:rsidRDefault="00BD52D9" w:rsidP="00F6196C">
      <w:pPr>
        <w:pStyle w:val="Odstavecseseznamem"/>
        <w:numPr>
          <w:ilvl w:val="0"/>
          <w:numId w:val="2"/>
        </w:numPr>
        <w:rPr>
          <w:b/>
        </w:rPr>
      </w:pPr>
      <w:r w:rsidRPr="00F6196C">
        <w:rPr>
          <w:b/>
        </w:rPr>
        <w:t>Stručný popis metodiky</w:t>
      </w:r>
    </w:p>
    <w:p w:rsidR="00BD52D9" w:rsidRDefault="00BD52D9" w:rsidP="00BD52D9">
      <w:pPr>
        <w:jc w:val="both"/>
      </w:pPr>
      <w:r w:rsidRPr="00A6422E">
        <w:t>Metodika SAII se skládá ze 40 otázek, zařazených do čtyř tematických skupin (koncepční aktivity, manažerská infrastruktura, zdroje, provozní řízení inovačního procesu), přičemž maximální počet bodů, který lze z jedné otázky získat je pět. Maximální počet bodů, které lze získat zodpovězením všech 40 otázek je 200. V rámci autoevaluace vybere expertní podnikový tým podle skutečnosti z každé otázky tu odpověď, které se nejvíce blíží podnikové realitě. V případě otázky, která nabízí výčet odpovědí, vybere ty, které se k hodnocené organizaci vztahují. Každé odpovědi je přiřazeno bodové skóre. Index SAII je potom kalkulován podle níže uvedené rovnice: Součet a normalizaci získaného počtu bodů provádí účelově vyvinutý software.</w:t>
      </w:r>
      <w:r w:rsidR="008D56BE">
        <w:t xml:space="preserve"> </w:t>
      </w:r>
    </w:p>
    <w:p w:rsidR="0077312A" w:rsidRPr="00F6196C" w:rsidRDefault="006F76C7" w:rsidP="00A23ACF">
      <w:pPr>
        <w:pStyle w:val="Nadpis1"/>
      </w:pPr>
      <w:r w:rsidRPr="00A23ACF">
        <w:t>Postupové</w:t>
      </w:r>
      <w:r w:rsidRPr="00F6196C">
        <w:t xml:space="preserve"> kroky </w:t>
      </w:r>
      <w:r w:rsidR="006511A0" w:rsidRPr="00F6196C">
        <w:t>hodnocení dle SAII</w:t>
      </w:r>
    </w:p>
    <w:p w:rsidR="006511A0" w:rsidRDefault="006511A0" w:rsidP="002A5B13">
      <w:pPr>
        <w:jc w:val="both"/>
      </w:pPr>
      <w:r>
        <w:t>Metodika hodnocení SAII byla navržena s cílem zajistit maximální objektivitu hodnocení inovačního potenciálu organizace v propojení s akceptovatelnou kvalifikační náročností</w:t>
      </w:r>
      <w:r w:rsidR="00F6196C">
        <w:t xml:space="preserve"> členů hodnotícího týmu</w:t>
      </w:r>
      <w:r>
        <w:t>. Aplikace hodnocení pomocí SAII probíhá v jednotlivých postupových krocích, přičemž</w:t>
      </w:r>
      <w:r w:rsidR="002A5B13">
        <w:t xml:space="preserve"> </w:t>
      </w:r>
      <w:r w:rsidR="00F6196C">
        <w:t>kompletnost</w:t>
      </w:r>
      <w:r w:rsidR="002A5B13">
        <w:t xml:space="preserve"> každého kroku musí být </w:t>
      </w:r>
      <w:r w:rsidR="00F6196C">
        <w:t>ověřena</w:t>
      </w:r>
      <w:r w:rsidR="002A5B13">
        <w:t xml:space="preserve"> </w:t>
      </w:r>
      <w:r w:rsidR="00F6196C">
        <w:t>minimálně podle předem</w:t>
      </w:r>
      <w:r w:rsidR="002A5B13">
        <w:t xml:space="preserve"> cíleně zvolených kvalitativních kritérií.</w:t>
      </w:r>
      <w:r w:rsidR="00F6196C">
        <w:t xml:space="preserve"> Sekvence postupových kroků je následující:</w:t>
      </w:r>
    </w:p>
    <w:p w:rsidR="006511A0" w:rsidRDefault="00F6196C">
      <w:r w:rsidRPr="00F6196C">
        <w:rPr>
          <w:noProof/>
          <w:lang w:eastAsia="cs-CZ"/>
        </w:rPr>
        <w:drawing>
          <wp:inline distT="0" distB="0" distL="0" distR="0" wp14:anchorId="3E1984D0" wp14:editId="104F11D5">
            <wp:extent cx="5760720" cy="701675"/>
            <wp:effectExtent l="57150" t="0" r="1143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16190" w:rsidRPr="00A23ACF" w:rsidRDefault="00D865B0" w:rsidP="00A23ACF">
      <w:pPr>
        <w:pStyle w:val="Nadpis1"/>
        <w:numPr>
          <w:ilvl w:val="1"/>
          <w:numId w:val="2"/>
        </w:numPr>
      </w:pPr>
      <w:r w:rsidRPr="00A23ACF">
        <w:t>Sestavení hodnotícího týmu</w:t>
      </w:r>
    </w:p>
    <w:p w:rsidR="00733A22" w:rsidRDefault="00F6196C" w:rsidP="00733A22">
      <w:pPr>
        <w:autoSpaceDE w:val="0"/>
        <w:autoSpaceDN w:val="0"/>
        <w:adjustRightInd w:val="0"/>
        <w:spacing w:after="0" w:line="240" w:lineRule="auto"/>
        <w:jc w:val="both"/>
      </w:pPr>
      <w:r w:rsidRPr="00F6196C">
        <w:t>Sestavení hodnotícího týmu je třeba věnovat maximální pozornost</w:t>
      </w:r>
      <w:r>
        <w:t xml:space="preserve">, tak, aby byla nejen zaručena maximální objektivita hodnocení, ale rovněž minimalizována chyba hodnocení. </w:t>
      </w:r>
      <w:r w:rsidR="00686A49">
        <w:t>Je výhodné, když</w:t>
      </w:r>
      <w:r w:rsidR="00D76755">
        <w:t xml:space="preserve"> hodnotící tým </w:t>
      </w:r>
      <w:r w:rsidR="00686A49">
        <w:t>je</w:t>
      </w:r>
      <w:r w:rsidR="00D76755">
        <w:t xml:space="preserve"> </w:t>
      </w:r>
      <w:r w:rsidR="00686A49">
        <w:t xml:space="preserve">na jedné straně </w:t>
      </w:r>
      <w:r w:rsidR="00D76755">
        <w:t>heterogenní</w:t>
      </w:r>
      <w:r w:rsidR="00686A49">
        <w:t>, ale na druhé straně nedochází k polarizaci týmu</w:t>
      </w:r>
      <w:r w:rsidR="00D76755">
        <w:t xml:space="preserve">. </w:t>
      </w:r>
      <w:r w:rsidR="008D56BE">
        <w:lastRenderedPageBreak/>
        <w:t>Typickým požadavkem je obsazení týmu s pracovníky s rozdílným kompetenčním profilem, resp. pracovníky s interdisciplinárními znalostmi</w:t>
      </w:r>
      <w:r w:rsidR="00733A22">
        <w:t>, čímž je zajištěno nejen lepší pochopení problému, ale rovněž širší spektrum pohledů na problémové oblasti</w:t>
      </w:r>
      <w:r w:rsidR="008D56BE">
        <w:t>. Specificky se jedná o manažery z různých úrovní firemní hierarchie</w:t>
      </w:r>
      <w:r w:rsidR="00AB4AF5">
        <w:t xml:space="preserve">, vlastníky procesů či </w:t>
      </w:r>
      <w:r w:rsidR="008D56BE">
        <w:t>firemní specialisty. Požadavkem je, aby hodnotící tým byl složen z pracovníků schopných konsensuálního rozhodování. Počet členů hodnotícího týmu není nutně regulován</w:t>
      </w:r>
      <w:r w:rsidR="00075F2E">
        <w:t>, nicméně je třeba si uv</w:t>
      </w:r>
      <w:r w:rsidR="00D76755">
        <w:t>ědomit, že s rostoucím počtem členů týmu se stupňuje časová náročnost a rostou transakční náklady související s hledáním stanoviska.</w:t>
      </w:r>
      <w:r w:rsidR="00733A22">
        <w:t xml:space="preserve"> Podmínkou formulace kvalitního stanoviska je zajištění kooperativní atmosféry v hodnotícím týmu, která stimuluje myšlení.  </w:t>
      </w:r>
      <w:r w:rsidR="00075F2E">
        <w:t xml:space="preserve">V každém případě je nezbytné eliminovat případnou dominanci některých členů skupiny. </w:t>
      </w:r>
      <w:r w:rsidR="00AB4AF5">
        <w:t>V této souvislosti lze využít i služeb externího facilitátora, který nezasahuje do vlastního rozhodnutí, nýbrž usměrňuje tok myšlenek, podněcuje kreativitu a řídí diskusi.</w:t>
      </w:r>
    </w:p>
    <w:p w:rsidR="00733A22" w:rsidRDefault="00733A22" w:rsidP="00733A22">
      <w:pPr>
        <w:autoSpaceDE w:val="0"/>
        <w:autoSpaceDN w:val="0"/>
        <w:adjustRightInd w:val="0"/>
        <w:spacing w:after="0" w:line="240" w:lineRule="auto"/>
      </w:pPr>
    </w:p>
    <w:p w:rsidR="00916190" w:rsidRPr="00A23ACF" w:rsidRDefault="00D865B0" w:rsidP="00A23ACF">
      <w:pPr>
        <w:pStyle w:val="Nadpis1"/>
        <w:numPr>
          <w:ilvl w:val="1"/>
          <w:numId w:val="2"/>
        </w:numPr>
      </w:pPr>
      <w:r w:rsidRPr="00F6196C">
        <w:t>Sběr a analýza podkladů hodnocení</w:t>
      </w:r>
    </w:p>
    <w:p w:rsidR="008D56BE" w:rsidRPr="00AB4AF5" w:rsidRDefault="00AB4AF5" w:rsidP="00F6196C">
      <w:r>
        <w:t>Podmínkou správného ohodnocení určité inovační kompetence je úplnost a kvalita podkladů. Žádná skutečnost nesmí být cíleně či podvědomě opomenuta a zamlčena.</w:t>
      </w:r>
    </w:p>
    <w:p w:rsidR="00916190" w:rsidRPr="00A23ACF" w:rsidRDefault="00D865B0" w:rsidP="00A23ACF">
      <w:pPr>
        <w:pStyle w:val="Nadpis1"/>
        <w:numPr>
          <w:ilvl w:val="1"/>
          <w:numId w:val="2"/>
        </w:numPr>
      </w:pPr>
      <w:r w:rsidRPr="00F6196C">
        <w:t xml:space="preserve">Výběr </w:t>
      </w:r>
      <w:r>
        <w:t xml:space="preserve">a aplikace </w:t>
      </w:r>
      <w:r w:rsidRPr="00F6196C">
        <w:t>analytických metod</w:t>
      </w:r>
    </w:p>
    <w:p w:rsidR="00075F2E" w:rsidRDefault="00075F2E" w:rsidP="007073D8">
      <w:pPr>
        <w:jc w:val="both"/>
      </w:pPr>
      <w:r w:rsidRPr="00075F2E">
        <w:t>Pro analýzu</w:t>
      </w:r>
      <w:r>
        <w:t xml:space="preserve"> podkladů a generování názorů lze použít běžné kreativní metody jako je brainstorming, brainwriting, řízená diskuse</w:t>
      </w:r>
      <w:r w:rsidR="00135608">
        <w:t>, mentální mapy</w:t>
      </w:r>
      <w:r w:rsidR="004E3E1A">
        <w:t>, Delphi metoda</w:t>
      </w:r>
      <w:r w:rsidR="00A0013A">
        <w:t>, Paretovo pravidlo</w:t>
      </w:r>
      <w:r w:rsidR="00D865B0">
        <w:t xml:space="preserve">, náhodný vstup, </w:t>
      </w:r>
      <w:proofErr w:type="spellStart"/>
      <w:r w:rsidR="00D865B0" w:rsidRPr="00D865B0">
        <w:t>Crawford</w:t>
      </w:r>
      <w:proofErr w:type="spellEnd"/>
      <w:r w:rsidR="00D865B0" w:rsidRPr="00D865B0">
        <w:t xml:space="preserve"> slip</w:t>
      </w:r>
      <w:r>
        <w:t xml:space="preserve"> apod. </w:t>
      </w:r>
      <w:r w:rsidR="004E3E1A">
        <w:t xml:space="preserve">Jednotlivé analytické metody lze účelově kombinovat. </w:t>
      </w:r>
      <w:r>
        <w:t xml:space="preserve">Je preferován přístup směřující k nalezení shody. Nepřípustné je hlasování. </w:t>
      </w:r>
    </w:p>
    <w:p w:rsidR="00916190" w:rsidRPr="00A23ACF" w:rsidRDefault="00D865B0" w:rsidP="00A23ACF">
      <w:pPr>
        <w:pStyle w:val="Nadpis1"/>
        <w:numPr>
          <w:ilvl w:val="1"/>
          <w:numId w:val="2"/>
        </w:numPr>
      </w:pPr>
      <w:r w:rsidRPr="00F6196C">
        <w:t>Přiřazení bodového skóre jednotlivým odpovědím</w:t>
      </w:r>
    </w:p>
    <w:p w:rsidR="00135608" w:rsidRPr="00135608" w:rsidRDefault="00135608" w:rsidP="00135608">
      <w:pPr>
        <w:jc w:val="both"/>
      </w:pPr>
      <w:r w:rsidRPr="00135608">
        <w:t>Jednotlivým odpovědím je přiřazováno bodové skóre v logice 5-3-2-0, kde 5 bodů znamená maximální naplnění daného znaku, 3 body nižší naplnění znaku a 2 body minimální naplnění znaku. Pokud organizace nedisponuje příslušnou kompetencí ani v minimální míře, případně dotazovanou aktivitu nevykonává, je přiřazeno otázce 0 bodů.</w:t>
      </w:r>
      <w:r w:rsidR="004E3E1A">
        <w:t xml:space="preserve"> Výčtové otázky jsou hodnoceny 1 bodem za pozitivní odpověď (organizace aplikuje daný přístup). Pokud počet pozitivních odpovědí jakkoli převyšuje číslo 5, je výsledné bodové skóre za otázku max. 5.</w:t>
      </w:r>
    </w:p>
    <w:p w:rsidR="00916190" w:rsidRPr="00A23ACF" w:rsidRDefault="00D865B0" w:rsidP="00A23ACF">
      <w:pPr>
        <w:pStyle w:val="Nadpis1"/>
        <w:numPr>
          <w:ilvl w:val="1"/>
          <w:numId w:val="2"/>
        </w:numPr>
      </w:pPr>
      <w:r w:rsidRPr="00F6196C">
        <w:t>Vyhodnocení SAII</w:t>
      </w:r>
    </w:p>
    <w:p w:rsidR="00135608" w:rsidRPr="00135608" w:rsidRDefault="00135608" w:rsidP="00CE20C4">
      <w:pPr>
        <w:jc w:val="both"/>
      </w:pPr>
      <w:r w:rsidRPr="00135608">
        <w:t>I</w:t>
      </w:r>
      <w:r>
        <w:t>n</w:t>
      </w:r>
      <w:r w:rsidRPr="00135608">
        <w:t>dex SAII je vyho</w:t>
      </w:r>
      <w:r w:rsidR="00381D76">
        <w:t>dnocován automaticky a kalkulaci</w:t>
      </w:r>
      <w:r w:rsidRPr="00135608">
        <w:t xml:space="preserve"> bodového skóre provádí </w:t>
      </w:r>
      <w:r w:rsidR="00381D76">
        <w:t xml:space="preserve">speciálně vytvořený </w:t>
      </w:r>
      <w:r w:rsidRPr="00135608">
        <w:t>SW.</w:t>
      </w:r>
      <w:r w:rsidR="00472930">
        <w:t xml:space="preserve"> SW vyhodnotí nejen úhrnnou hodnotu SAII indexu pro organizace, ale i naplňování jednotlivých subkritérií. Takto získá firma detailní pohled nejen na svůj úhrnný inovační status, ale i na jednotlivé oblasti, což ji umožní přesněji identifikovat své slabé stránky v oblasti řízení inovací a následně specificky definovat a zacílit soubor nápravných opatření.</w:t>
      </w:r>
    </w:p>
    <w:p w:rsidR="00916190" w:rsidRPr="00A23ACF" w:rsidRDefault="00D865B0" w:rsidP="00A23ACF">
      <w:pPr>
        <w:pStyle w:val="Nadpis1"/>
        <w:numPr>
          <w:ilvl w:val="1"/>
          <w:numId w:val="2"/>
        </w:numPr>
      </w:pPr>
      <w:r w:rsidRPr="00F6196C">
        <w:t xml:space="preserve">Rozhodnutí o nápravných </w:t>
      </w:r>
      <w:r w:rsidR="00381D76" w:rsidRPr="00A23ACF">
        <w:t>opařeních</w:t>
      </w:r>
    </w:p>
    <w:p w:rsidR="00381D76" w:rsidRDefault="00381D76" w:rsidP="00381D76">
      <w:pPr>
        <w:jc w:val="both"/>
      </w:pPr>
      <w:r w:rsidRPr="00381D76">
        <w:t>Rozhodnutí a nápravných</w:t>
      </w:r>
      <w:r>
        <w:t xml:space="preserve"> opatřeních je závěrečným krokem hodnocení inovativnosti organizace pomocí indexu SAII. Tento krok reaguje na slabé stránky inovačního procesu a formuluje soubor opatření k jeho zkvalitnění. Tato opatření je nezbytné promítnout do klíčových řídících dokumentů organizace, jako jsou dlouhodobá a střednědobá strategie organizace, business plány, projektová dokumentace</w:t>
      </w:r>
      <w:r w:rsidR="007073D8">
        <w:t xml:space="preserve"> (P</w:t>
      </w:r>
      <w:r>
        <w:t>roj</w:t>
      </w:r>
      <w:r w:rsidR="007073D8">
        <w:t>ect Charter, O</w:t>
      </w:r>
      <w:r>
        <w:t>pport</w:t>
      </w:r>
      <w:r w:rsidR="007073D8">
        <w:t>unity S</w:t>
      </w:r>
      <w:r>
        <w:t>tudy atd</w:t>
      </w:r>
      <w:r w:rsidR="00A23ACF">
        <w:t>.</w:t>
      </w:r>
      <w:r>
        <w:t>).</w:t>
      </w:r>
      <w:r w:rsidR="005E7C83">
        <w:t xml:space="preserve"> </w:t>
      </w:r>
      <w:proofErr w:type="spellStart"/>
      <w:r w:rsidR="005E7C83">
        <w:t>Retestování</w:t>
      </w:r>
      <w:proofErr w:type="spellEnd"/>
      <w:r w:rsidR="005E7C83">
        <w:t xml:space="preserve"> organizace pomocí SAII závisí na oblasti podnikání, resp. oborových inovačních cyklech. </w:t>
      </w:r>
      <w:r w:rsidR="00B037A0">
        <w:t>Indikativně</w:t>
      </w:r>
      <w:r w:rsidR="005E7C83">
        <w:t xml:space="preserve"> by měla být </w:t>
      </w:r>
      <w:r w:rsidR="00B037A0">
        <w:t>organizace</w:t>
      </w:r>
      <w:r w:rsidR="005E7C83">
        <w:t xml:space="preserve"> otestována každé 3 roky.</w:t>
      </w:r>
    </w:p>
    <w:p w:rsidR="0027176C" w:rsidRPr="00381D76" w:rsidRDefault="0027176C" w:rsidP="00381D76">
      <w:pPr>
        <w:jc w:val="both"/>
      </w:pPr>
    </w:p>
    <w:p w:rsidR="00A23ACF" w:rsidRPr="00A23ACF" w:rsidRDefault="00A23ACF" w:rsidP="00A23ACF">
      <w:pPr>
        <w:pStyle w:val="Odstavecseseznamem"/>
        <w:numPr>
          <w:ilvl w:val="0"/>
          <w:numId w:val="2"/>
        </w:numPr>
        <w:rPr>
          <w:b/>
        </w:rPr>
      </w:pPr>
      <w:r w:rsidRPr="00A23ACF">
        <w:rPr>
          <w:b/>
        </w:rPr>
        <w:lastRenderedPageBreak/>
        <w:t>Změnové řízení</w:t>
      </w:r>
    </w:p>
    <w:p w:rsidR="00A23ACF" w:rsidRDefault="00A23ACF">
      <w:r>
        <w:t>Tento dokument podléhá změnovému řízení v souladu s interní legislativou organizace.</w:t>
      </w:r>
    </w:p>
    <w:p w:rsidR="007073D8" w:rsidRDefault="007073D8"/>
    <w:p w:rsidR="00A23ACF" w:rsidRDefault="00A23ACF" w:rsidP="00A23ACF">
      <w:pPr>
        <w:pStyle w:val="Odstavecseseznamem"/>
        <w:numPr>
          <w:ilvl w:val="0"/>
          <w:numId w:val="2"/>
        </w:numPr>
        <w:rPr>
          <w:b/>
        </w:rPr>
      </w:pPr>
      <w:r w:rsidRPr="00A23ACF">
        <w:rPr>
          <w:b/>
        </w:rPr>
        <w:t>Související dokumenty</w:t>
      </w:r>
    </w:p>
    <w:p w:rsidR="004E3E1A" w:rsidRDefault="004E3E1A" w:rsidP="004E3E1A">
      <w:pPr>
        <w:pStyle w:val="Odstavecseseznamem"/>
        <w:numPr>
          <w:ilvl w:val="0"/>
          <w:numId w:val="15"/>
        </w:numPr>
      </w:pPr>
      <w:r w:rsidRPr="004E3E1A">
        <w:t>Metodika hodnocení inovací pomocí SAII (tištěná a SW verze)</w:t>
      </w:r>
      <w:r w:rsidR="00B037A0">
        <w:t>,</w:t>
      </w:r>
    </w:p>
    <w:p w:rsidR="004E3E1A" w:rsidRDefault="004E3E1A" w:rsidP="004E3E1A">
      <w:pPr>
        <w:pStyle w:val="Odstavecseseznamem"/>
        <w:numPr>
          <w:ilvl w:val="0"/>
          <w:numId w:val="15"/>
        </w:numPr>
      </w:pPr>
      <w:r>
        <w:t>Implementační plán metodiky SAII</w:t>
      </w:r>
      <w:r w:rsidR="00B037A0">
        <w:t>.</w:t>
      </w:r>
    </w:p>
    <w:p w:rsidR="007073D8" w:rsidRDefault="007073D8" w:rsidP="007073D8">
      <w:pPr>
        <w:ind w:left="360"/>
      </w:pPr>
    </w:p>
    <w:p w:rsidR="003A19B9" w:rsidRDefault="003A19B9" w:rsidP="003A19B9">
      <w:pPr>
        <w:pStyle w:val="Odstavecseseznamem"/>
        <w:numPr>
          <w:ilvl w:val="0"/>
          <w:numId w:val="2"/>
        </w:numPr>
        <w:rPr>
          <w:b/>
        </w:rPr>
      </w:pPr>
      <w:r w:rsidRPr="003A19B9">
        <w:rPr>
          <w:b/>
        </w:rPr>
        <w:t>Rozdělovník</w:t>
      </w:r>
    </w:p>
    <w:p w:rsidR="003A19B9" w:rsidRDefault="003A19B9" w:rsidP="003A19B9">
      <w:pPr>
        <w:pStyle w:val="Odstavecseseznamem"/>
        <w:numPr>
          <w:ilvl w:val="0"/>
          <w:numId w:val="15"/>
        </w:numPr>
      </w:pPr>
      <w:r w:rsidRPr="003A19B9">
        <w:t>Výtisk č. 1</w:t>
      </w:r>
      <w:r>
        <w:tab/>
      </w:r>
      <w:r w:rsidR="00147760">
        <w:t>předseda Sdružení</w:t>
      </w:r>
    </w:p>
    <w:p w:rsidR="003A19B9" w:rsidRDefault="003A19B9" w:rsidP="003A19B9">
      <w:pPr>
        <w:pStyle w:val="Odstavecseseznamem"/>
        <w:numPr>
          <w:ilvl w:val="0"/>
          <w:numId w:val="15"/>
        </w:numPr>
      </w:pPr>
      <w:r>
        <w:t>Výtisk č. 2</w:t>
      </w:r>
      <w:r w:rsidR="00147760">
        <w:tab/>
        <w:t>tajemník Sdružení</w:t>
      </w:r>
    </w:p>
    <w:p w:rsidR="003A19B9" w:rsidRPr="003A19B9" w:rsidRDefault="003A19B9" w:rsidP="003A19B9">
      <w:pPr>
        <w:pStyle w:val="Odstavecseseznamem"/>
        <w:numPr>
          <w:ilvl w:val="0"/>
          <w:numId w:val="15"/>
        </w:numPr>
      </w:pPr>
      <w:r>
        <w:t>Výtisk č. 3</w:t>
      </w:r>
      <w:r w:rsidR="00147760">
        <w:tab/>
        <w:t>viceprezident</w:t>
      </w:r>
    </w:p>
    <w:p w:rsidR="004E3E1A" w:rsidRPr="004E3E1A" w:rsidRDefault="004E3E1A" w:rsidP="004E3E1A"/>
    <w:sectPr w:rsidR="004E3E1A" w:rsidRPr="004E3E1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E1A" w:rsidRDefault="004E3E1A" w:rsidP="004E3E1A">
      <w:pPr>
        <w:spacing w:after="0" w:line="240" w:lineRule="auto"/>
      </w:pPr>
      <w:r>
        <w:separator/>
      </w:r>
    </w:p>
  </w:endnote>
  <w:endnote w:type="continuationSeparator" w:id="0">
    <w:p w:rsidR="004E3E1A" w:rsidRDefault="004E3E1A" w:rsidP="004E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4E3E1A" w:rsidTr="00BC307C">
      <w:tc>
        <w:tcPr>
          <w:tcW w:w="3020" w:type="dxa"/>
        </w:tcPr>
        <w:p w:rsidR="004E3E1A" w:rsidRDefault="004E3E1A" w:rsidP="004E3E1A">
          <w:r>
            <w:t>Gestor metodiky:</w:t>
          </w:r>
          <w:r w:rsidR="00147760">
            <w:t xml:space="preserve"> Tomáš David</w:t>
          </w:r>
        </w:p>
        <w:p w:rsidR="004E3E1A" w:rsidRDefault="004E3E1A" w:rsidP="004E3E1A"/>
      </w:tc>
      <w:tc>
        <w:tcPr>
          <w:tcW w:w="3021" w:type="dxa"/>
        </w:tcPr>
        <w:p w:rsidR="004E3E1A" w:rsidRDefault="004E3E1A" w:rsidP="004E3E1A">
          <w:r>
            <w:t>Schválil:</w:t>
          </w:r>
          <w:r w:rsidR="00147760">
            <w:t xml:space="preserve"> Jan </w:t>
          </w:r>
          <w:proofErr w:type="spellStart"/>
          <w:r w:rsidR="00147760">
            <w:t>Struž</w:t>
          </w:r>
          <w:proofErr w:type="spellEnd"/>
        </w:p>
      </w:tc>
      <w:tc>
        <w:tcPr>
          <w:tcW w:w="3021" w:type="dxa"/>
        </w:tcPr>
        <w:p w:rsidR="004E3E1A" w:rsidRDefault="004E3E1A" w:rsidP="004E3E1A">
          <w:r>
            <w:t>Datum:</w:t>
          </w:r>
          <w:r w:rsidR="00147760">
            <w:t xml:space="preserve"> </w:t>
          </w:r>
          <w:proofErr w:type="gramStart"/>
          <w:r w:rsidR="00147760">
            <w:t>27.11.2015</w:t>
          </w:r>
          <w:proofErr w:type="gramEnd"/>
        </w:p>
        <w:p w:rsidR="007073D8" w:rsidRDefault="007073D8" w:rsidP="004E3E1A"/>
      </w:tc>
    </w:tr>
  </w:tbl>
  <w:p w:rsidR="004E3E1A" w:rsidRDefault="004E3E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E1A" w:rsidRDefault="004E3E1A" w:rsidP="004E3E1A">
      <w:pPr>
        <w:spacing w:after="0" w:line="240" w:lineRule="auto"/>
      </w:pPr>
      <w:r>
        <w:separator/>
      </w:r>
    </w:p>
  </w:footnote>
  <w:footnote w:type="continuationSeparator" w:id="0">
    <w:p w:rsidR="004E3E1A" w:rsidRDefault="004E3E1A" w:rsidP="004E3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8283504"/>
      <w:docPartObj>
        <w:docPartGallery w:val="Page Numbers (Top of Page)"/>
        <w:docPartUnique/>
      </w:docPartObj>
    </w:sdtPr>
    <w:sdtEndPr/>
    <w:sdtContent>
      <w:p w:rsidR="007073D8" w:rsidRDefault="007073D8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912">
          <w:rPr>
            <w:noProof/>
          </w:rPr>
          <w:t>1</w:t>
        </w:r>
        <w:r>
          <w:fldChar w:fldCharType="end"/>
        </w:r>
      </w:p>
    </w:sdtContent>
  </w:sdt>
  <w:p w:rsidR="007073D8" w:rsidRDefault="007073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0320"/>
    <w:multiLevelType w:val="hybridMultilevel"/>
    <w:tmpl w:val="1384FC9E"/>
    <w:lvl w:ilvl="0" w:tplc="217AA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72F09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1F551A3"/>
    <w:multiLevelType w:val="hybridMultilevel"/>
    <w:tmpl w:val="3AA64C7E"/>
    <w:lvl w:ilvl="0" w:tplc="E1726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489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9C7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48A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E02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8C5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547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66A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20F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2F067B3"/>
    <w:multiLevelType w:val="multilevel"/>
    <w:tmpl w:val="9000D24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75A2BB7"/>
    <w:multiLevelType w:val="multilevel"/>
    <w:tmpl w:val="A588E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08"/>
    <w:rsid w:val="00075F2E"/>
    <w:rsid w:val="000A44E2"/>
    <w:rsid w:val="000F41B2"/>
    <w:rsid w:val="00116912"/>
    <w:rsid w:val="00135608"/>
    <w:rsid w:val="00147760"/>
    <w:rsid w:val="00215D08"/>
    <w:rsid w:val="0027176C"/>
    <w:rsid w:val="002A5B13"/>
    <w:rsid w:val="00381D76"/>
    <w:rsid w:val="003A19B9"/>
    <w:rsid w:val="00462FA1"/>
    <w:rsid w:val="00472930"/>
    <w:rsid w:val="004E3E1A"/>
    <w:rsid w:val="005C562A"/>
    <w:rsid w:val="005E7C83"/>
    <w:rsid w:val="00645F91"/>
    <w:rsid w:val="006511A0"/>
    <w:rsid w:val="00686A49"/>
    <w:rsid w:val="006F76C7"/>
    <w:rsid w:val="007073D8"/>
    <w:rsid w:val="00733A22"/>
    <w:rsid w:val="0077312A"/>
    <w:rsid w:val="008851F7"/>
    <w:rsid w:val="008D56BE"/>
    <w:rsid w:val="00916190"/>
    <w:rsid w:val="00A0013A"/>
    <w:rsid w:val="00A23ACF"/>
    <w:rsid w:val="00AB4AF5"/>
    <w:rsid w:val="00B01C70"/>
    <w:rsid w:val="00B037A0"/>
    <w:rsid w:val="00B45E8A"/>
    <w:rsid w:val="00BD52D9"/>
    <w:rsid w:val="00CD1FB5"/>
    <w:rsid w:val="00CE20C4"/>
    <w:rsid w:val="00D76755"/>
    <w:rsid w:val="00D865B0"/>
    <w:rsid w:val="00F46100"/>
    <w:rsid w:val="00F6196C"/>
    <w:rsid w:val="00F6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B527838-AC87-408E-B93C-2B89FEBC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"/>
    <w:qFormat/>
    <w:rsid w:val="00A23ACF"/>
    <w:pPr>
      <w:numPr>
        <w:numId w:val="2"/>
      </w:numPr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3ACF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3ACF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3ACF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3ACF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3ACF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3ACF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3ACF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3ACF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15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619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F2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A23ACF"/>
    <w:rPr>
      <w:b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3A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3A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3A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3AC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3AC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3AC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3A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3A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4E3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E1A"/>
  </w:style>
  <w:style w:type="paragraph" w:styleId="Zpat">
    <w:name w:val="footer"/>
    <w:basedOn w:val="Normln"/>
    <w:link w:val="ZpatChar"/>
    <w:uiPriority w:val="99"/>
    <w:unhideWhenUsed/>
    <w:rsid w:val="004E3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2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977157-229E-405D-9DF5-99EB74908CC4}" type="doc">
      <dgm:prSet loTypeId="urn:microsoft.com/office/officeart/2005/8/layout/chevron1" loCatId="process" qsTypeId="urn:microsoft.com/office/officeart/2005/8/quickstyle/3d3" qsCatId="3D" csTypeId="urn:microsoft.com/office/officeart/2005/8/colors/colorful4" csCatId="colorful" phldr="1"/>
      <dgm:spPr/>
    </dgm:pt>
    <dgm:pt modelId="{9BD08567-74A2-4438-8506-228F06BC04E7}">
      <dgm:prSet phldrT="[Text]" custT="1"/>
      <dgm:spPr/>
      <dgm:t>
        <a:bodyPr/>
        <a:lstStyle/>
        <a:p>
          <a:r>
            <a:rPr lang="cs-CZ" sz="700" b="1" dirty="0" smtClean="0">
              <a:solidFill>
                <a:schemeClr val="tx1"/>
              </a:solidFill>
            </a:rPr>
            <a:t>Sestavení hodnotícího týmu</a:t>
          </a:r>
          <a:endParaRPr lang="en-GB" sz="700" b="1" dirty="0">
            <a:solidFill>
              <a:schemeClr val="tx1"/>
            </a:solidFill>
          </a:endParaRPr>
        </a:p>
      </dgm:t>
    </dgm:pt>
    <dgm:pt modelId="{36D3D6A4-1F72-403C-A9D1-2916826123B8}" type="parTrans" cxnId="{84CCA596-2489-4619-AF73-C41D3860B8C4}">
      <dgm:prSet/>
      <dgm:spPr/>
      <dgm:t>
        <a:bodyPr/>
        <a:lstStyle/>
        <a:p>
          <a:endParaRPr lang="en-GB" sz="700"/>
        </a:p>
      </dgm:t>
    </dgm:pt>
    <dgm:pt modelId="{1E329B87-2CC1-48D4-B330-A0EF1B5D7457}" type="sibTrans" cxnId="{84CCA596-2489-4619-AF73-C41D3860B8C4}">
      <dgm:prSet/>
      <dgm:spPr/>
      <dgm:t>
        <a:bodyPr/>
        <a:lstStyle/>
        <a:p>
          <a:endParaRPr lang="en-GB" sz="700"/>
        </a:p>
      </dgm:t>
    </dgm:pt>
    <dgm:pt modelId="{26E958BF-539E-4C4B-916A-38F7227F5618}">
      <dgm:prSet phldrT="[Text]" custT="1"/>
      <dgm:spPr/>
      <dgm:t>
        <a:bodyPr/>
        <a:lstStyle/>
        <a:p>
          <a:r>
            <a:rPr lang="cs-CZ" sz="700" b="1" dirty="0" smtClean="0">
              <a:solidFill>
                <a:schemeClr val="tx1"/>
              </a:solidFill>
            </a:rPr>
            <a:t>Sběr a analýza podkladů hodnocení</a:t>
          </a:r>
          <a:endParaRPr lang="en-GB" sz="700" b="1" dirty="0">
            <a:solidFill>
              <a:schemeClr val="tx1"/>
            </a:solidFill>
          </a:endParaRPr>
        </a:p>
      </dgm:t>
    </dgm:pt>
    <dgm:pt modelId="{CC694432-4A31-4E1F-9EDF-6D49666D393D}" type="parTrans" cxnId="{9149DF11-7434-4CD7-83C0-230F1C3A5D4E}">
      <dgm:prSet/>
      <dgm:spPr/>
      <dgm:t>
        <a:bodyPr/>
        <a:lstStyle/>
        <a:p>
          <a:endParaRPr lang="en-GB" sz="700"/>
        </a:p>
      </dgm:t>
    </dgm:pt>
    <dgm:pt modelId="{BCB2C126-8E9C-4392-B2E8-6A1CE09CC2E9}" type="sibTrans" cxnId="{9149DF11-7434-4CD7-83C0-230F1C3A5D4E}">
      <dgm:prSet/>
      <dgm:spPr/>
      <dgm:t>
        <a:bodyPr/>
        <a:lstStyle/>
        <a:p>
          <a:endParaRPr lang="en-GB" sz="700"/>
        </a:p>
      </dgm:t>
    </dgm:pt>
    <dgm:pt modelId="{2333B97E-BB5A-4D34-88E6-4B64172C9138}">
      <dgm:prSet phldrT="[Text]" custT="1"/>
      <dgm:spPr/>
      <dgm:t>
        <a:bodyPr/>
        <a:lstStyle/>
        <a:p>
          <a:r>
            <a:rPr lang="cs-CZ" sz="700" b="1" dirty="0" smtClean="0">
              <a:solidFill>
                <a:schemeClr val="tx1"/>
              </a:solidFill>
            </a:rPr>
            <a:t>Výběr a aplikace analytických metod</a:t>
          </a:r>
          <a:endParaRPr lang="en-GB" sz="700" b="1" dirty="0">
            <a:solidFill>
              <a:schemeClr val="tx1"/>
            </a:solidFill>
          </a:endParaRPr>
        </a:p>
      </dgm:t>
    </dgm:pt>
    <dgm:pt modelId="{9CEB661C-E9E8-454C-A4EC-E799485847FE}" type="parTrans" cxnId="{3BCD5F36-C8E4-43B3-86CF-6CCCDE8B4E80}">
      <dgm:prSet/>
      <dgm:spPr/>
      <dgm:t>
        <a:bodyPr/>
        <a:lstStyle/>
        <a:p>
          <a:endParaRPr lang="en-GB" sz="700"/>
        </a:p>
      </dgm:t>
    </dgm:pt>
    <dgm:pt modelId="{CD9310B8-BD00-4176-8BFF-8E0DC176CB9D}" type="sibTrans" cxnId="{3BCD5F36-C8E4-43B3-86CF-6CCCDE8B4E80}">
      <dgm:prSet/>
      <dgm:spPr/>
      <dgm:t>
        <a:bodyPr/>
        <a:lstStyle/>
        <a:p>
          <a:endParaRPr lang="en-GB" sz="700"/>
        </a:p>
      </dgm:t>
    </dgm:pt>
    <dgm:pt modelId="{B75F25BC-CBDE-4531-BD98-EC270D820AE9}">
      <dgm:prSet phldrT="[Text]" custT="1"/>
      <dgm:spPr/>
      <dgm:t>
        <a:bodyPr/>
        <a:lstStyle/>
        <a:p>
          <a:r>
            <a:rPr lang="cs-CZ" sz="650" b="1" dirty="0" smtClean="0">
              <a:solidFill>
                <a:schemeClr val="tx1"/>
              </a:solidFill>
            </a:rPr>
            <a:t>Přiřazení bodového skóre jednotlivým odpovědím</a:t>
          </a:r>
          <a:endParaRPr lang="en-GB" sz="650" b="1" dirty="0">
            <a:solidFill>
              <a:schemeClr val="tx1"/>
            </a:solidFill>
          </a:endParaRPr>
        </a:p>
      </dgm:t>
    </dgm:pt>
    <dgm:pt modelId="{67670671-A233-4A49-BB11-466A184F6CAB}" type="parTrans" cxnId="{F4D49499-846D-4873-8669-487DA1555495}">
      <dgm:prSet/>
      <dgm:spPr/>
      <dgm:t>
        <a:bodyPr/>
        <a:lstStyle/>
        <a:p>
          <a:endParaRPr lang="en-GB" sz="700"/>
        </a:p>
      </dgm:t>
    </dgm:pt>
    <dgm:pt modelId="{45593782-2F30-4958-BD98-8EE9BAB69440}" type="sibTrans" cxnId="{F4D49499-846D-4873-8669-487DA1555495}">
      <dgm:prSet/>
      <dgm:spPr/>
      <dgm:t>
        <a:bodyPr/>
        <a:lstStyle/>
        <a:p>
          <a:endParaRPr lang="en-GB" sz="700"/>
        </a:p>
      </dgm:t>
    </dgm:pt>
    <dgm:pt modelId="{F8CD949E-4BFE-43F0-9B38-CCDA8E0750FC}">
      <dgm:prSet phldrT="[Text]" custT="1"/>
      <dgm:spPr/>
      <dgm:t>
        <a:bodyPr/>
        <a:lstStyle/>
        <a:p>
          <a:r>
            <a:rPr lang="cs-CZ" sz="700" b="1" dirty="0" smtClean="0">
              <a:solidFill>
                <a:schemeClr val="tx1"/>
              </a:solidFill>
            </a:rPr>
            <a:t>Vyhodnocení SAII</a:t>
          </a:r>
          <a:endParaRPr lang="en-GB" sz="700" b="1" dirty="0">
            <a:solidFill>
              <a:schemeClr val="tx1"/>
            </a:solidFill>
          </a:endParaRPr>
        </a:p>
      </dgm:t>
    </dgm:pt>
    <dgm:pt modelId="{E9581C27-9DF5-4977-982B-372EAABD9EA8}" type="parTrans" cxnId="{1AE25001-51FF-4B03-ACE5-29D68EA99C94}">
      <dgm:prSet/>
      <dgm:spPr/>
      <dgm:t>
        <a:bodyPr/>
        <a:lstStyle/>
        <a:p>
          <a:endParaRPr lang="en-GB" sz="700"/>
        </a:p>
      </dgm:t>
    </dgm:pt>
    <dgm:pt modelId="{DDD96CC5-6E60-4698-8494-91E4F8C055C8}" type="sibTrans" cxnId="{1AE25001-51FF-4B03-ACE5-29D68EA99C94}">
      <dgm:prSet/>
      <dgm:spPr/>
      <dgm:t>
        <a:bodyPr/>
        <a:lstStyle/>
        <a:p>
          <a:endParaRPr lang="en-GB" sz="700"/>
        </a:p>
      </dgm:t>
    </dgm:pt>
    <dgm:pt modelId="{BAAF5835-1EAD-4F7C-9F11-F2ACC63D5D7E}">
      <dgm:prSet phldrT="[Text]"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cs-CZ" sz="700" b="1" dirty="0" smtClean="0"/>
            <a:t>Rozhodnutí o nápravných opatřeních</a:t>
          </a:r>
          <a:endParaRPr lang="en-GB" sz="700" b="1" dirty="0"/>
        </a:p>
      </dgm:t>
    </dgm:pt>
    <dgm:pt modelId="{89CED638-5BED-4639-9473-43E54A488059}" type="parTrans" cxnId="{06471A32-BE49-4C70-89BD-E238FFE38B95}">
      <dgm:prSet/>
      <dgm:spPr/>
      <dgm:t>
        <a:bodyPr/>
        <a:lstStyle/>
        <a:p>
          <a:endParaRPr lang="en-GB" sz="700"/>
        </a:p>
      </dgm:t>
    </dgm:pt>
    <dgm:pt modelId="{37164CEF-9152-4726-9CBB-35DCCF68142D}" type="sibTrans" cxnId="{06471A32-BE49-4C70-89BD-E238FFE38B95}">
      <dgm:prSet/>
      <dgm:spPr/>
      <dgm:t>
        <a:bodyPr/>
        <a:lstStyle/>
        <a:p>
          <a:endParaRPr lang="en-GB" sz="700"/>
        </a:p>
      </dgm:t>
    </dgm:pt>
    <dgm:pt modelId="{FC5730E0-D04D-43B9-8395-3A8F0495836D}" type="pres">
      <dgm:prSet presAssocID="{93977157-229E-405D-9DF5-99EB74908CC4}" presName="Name0" presStyleCnt="0">
        <dgm:presLayoutVars>
          <dgm:dir/>
          <dgm:animLvl val="lvl"/>
          <dgm:resizeHandles val="exact"/>
        </dgm:presLayoutVars>
      </dgm:prSet>
      <dgm:spPr/>
    </dgm:pt>
    <dgm:pt modelId="{76EAAB29-D305-4688-A1AD-5885C76892AD}" type="pres">
      <dgm:prSet presAssocID="{9BD08567-74A2-4438-8506-228F06BC04E7}" presName="parTxOnly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5775890-DD32-412D-8118-0D5C9A7E84A7}" type="pres">
      <dgm:prSet presAssocID="{1E329B87-2CC1-48D4-B330-A0EF1B5D7457}" presName="parTxOnlySpace" presStyleCnt="0"/>
      <dgm:spPr/>
    </dgm:pt>
    <dgm:pt modelId="{AD5546D3-C8A7-45EF-B8B5-A9C9A584A153}" type="pres">
      <dgm:prSet presAssocID="{26E958BF-539E-4C4B-916A-38F7227F5618}" presName="parTxOnly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FBCF6D2-2802-4518-8D26-C8733BE59DBA}" type="pres">
      <dgm:prSet presAssocID="{BCB2C126-8E9C-4392-B2E8-6A1CE09CC2E9}" presName="parTxOnlySpace" presStyleCnt="0"/>
      <dgm:spPr/>
    </dgm:pt>
    <dgm:pt modelId="{2EF8F816-E64F-43A1-B17C-C85F5BEBBBFA}" type="pres">
      <dgm:prSet presAssocID="{2333B97E-BB5A-4D34-88E6-4B64172C9138}" presName="parTxOnly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FBA1707-1BEB-46DE-A1BE-559A2E6241B3}" type="pres">
      <dgm:prSet presAssocID="{CD9310B8-BD00-4176-8BFF-8E0DC176CB9D}" presName="parTxOnlySpace" presStyleCnt="0"/>
      <dgm:spPr/>
    </dgm:pt>
    <dgm:pt modelId="{E4FB7CE4-525F-4D71-8F3B-B5CB8A116CC0}" type="pres">
      <dgm:prSet presAssocID="{B75F25BC-CBDE-4531-BD98-EC270D820AE9}" presName="parTxOnly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F38104C-0693-413E-8A10-1D8F52571F23}" type="pres">
      <dgm:prSet presAssocID="{45593782-2F30-4958-BD98-8EE9BAB69440}" presName="parTxOnlySpace" presStyleCnt="0"/>
      <dgm:spPr/>
    </dgm:pt>
    <dgm:pt modelId="{B7895594-EAF7-4961-96FB-433E1C5F7E5D}" type="pres">
      <dgm:prSet presAssocID="{F8CD949E-4BFE-43F0-9B38-CCDA8E0750FC}" presName="parTxOnly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7F79755-C2B8-4439-9C63-8F9AEFCAA4F0}" type="pres">
      <dgm:prSet presAssocID="{DDD96CC5-6E60-4698-8494-91E4F8C055C8}" presName="parTxOnlySpace" presStyleCnt="0"/>
      <dgm:spPr/>
    </dgm:pt>
    <dgm:pt modelId="{FDFF1A55-F9F7-4305-8E0F-28DD95789944}" type="pres">
      <dgm:prSet presAssocID="{BAAF5835-1EAD-4F7C-9F11-F2ACC63D5D7E}" presName="parTxOnly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F4D49499-846D-4873-8669-487DA1555495}" srcId="{93977157-229E-405D-9DF5-99EB74908CC4}" destId="{B75F25BC-CBDE-4531-BD98-EC270D820AE9}" srcOrd="3" destOrd="0" parTransId="{67670671-A233-4A49-BB11-466A184F6CAB}" sibTransId="{45593782-2F30-4958-BD98-8EE9BAB69440}"/>
    <dgm:cxn modelId="{B631680D-764E-452E-8F74-B0A62854282C}" type="presOf" srcId="{26E958BF-539E-4C4B-916A-38F7227F5618}" destId="{AD5546D3-C8A7-45EF-B8B5-A9C9A584A153}" srcOrd="0" destOrd="0" presId="urn:microsoft.com/office/officeart/2005/8/layout/chevron1"/>
    <dgm:cxn modelId="{84CCA596-2489-4619-AF73-C41D3860B8C4}" srcId="{93977157-229E-405D-9DF5-99EB74908CC4}" destId="{9BD08567-74A2-4438-8506-228F06BC04E7}" srcOrd="0" destOrd="0" parTransId="{36D3D6A4-1F72-403C-A9D1-2916826123B8}" sibTransId="{1E329B87-2CC1-48D4-B330-A0EF1B5D7457}"/>
    <dgm:cxn modelId="{90A2CDED-6A58-433B-8319-2CF35896938E}" type="presOf" srcId="{2333B97E-BB5A-4D34-88E6-4B64172C9138}" destId="{2EF8F816-E64F-43A1-B17C-C85F5BEBBBFA}" srcOrd="0" destOrd="0" presId="urn:microsoft.com/office/officeart/2005/8/layout/chevron1"/>
    <dgm:cxn modelId="{C5BD252E-3FCC-4E70-A298-9D1CE4BFFB7F}" type="presOf" srcId="{B75F25BC-CBDE-4531-BD98-EC270D820AE9}" destId="{E4FB7CE4-525F-4D71-8F3B-B5CB8A116CC0}" srcOrd="0" destOrd="0" presId="urn:microsoft.com/office/officeart/2005/8/layout/chevron1"/>
    <dgm:cxn modelId="{293A7EEB-B93F-48A8-B70C-55DF8E5B686C}" type="presOf" srcId="{9BD08567-74A2-4438-8506-228F06BC04E7}" destId="{76EAAB29-D305-4688-A1AD-5885C76892AD}" srcOrd="0" destOrd="0" presId="urn:microsoft.com/office/officeart/2005/8/layout/chevron1"/>
    <dgm:cxn modelId="{06471A32-BE49-4C70-89BD-E238FFE38B95}" srcId="{93977157-229E-405D-9DF5-99EB74908CC4}" destId="{BAAF5835-1EAD-4F7C-9F11-F2ACC63D5D7E}" srcOrd="5" destOrd="0" parTransId="{89CED638-5BED-4639-9473-43E54A488059}" sibTransId="{37164CEF-9152-4726-9CBB-35DCCF68142D}"/>
    <dgm:cxn modelId="{1AE25001-51FF-4B03-ACE5-29D68EA99C94}" srcId="{93977157-229E-405D-9DF5-99EB74908CC4}" destId="{F8CD949E-4BFE-43F0-9B38-CCDA8E0750FC}" srcOrd="4" destOrd="0" parTransId="{E9581C27-9DF5-4977-982B-372EAABD9EA8}" sibTransId="{DDD96CC5-6E60-4698-8494-91E4F8C055C8}"/>
    <dgm:cxn modelId="{032B91F9-AF43-4070-B92B-63E96035A072}" type="presOf" srcId="{F8CD949E-4BFE-43F0-9B38-CCDA8E0750FC}" destId="{B7895594-EAF7-4961-96FB-433E1C5F7E5D}" srcOrd="0" destOrd="0" presId="urn:microsoft.com/office/officeart/2005/8/layout/chevron1"/>
    <dgm:cxn modelId="{B0DB67CE-C25E-4A04-A4FC-CFC7E7FCB12F}" type="presOf" srcId="{93977157-229E-405D-9DF5-99EB74908CC4}" destId="{FC5730E0-D04D-43B9-8395-3A8F0495836D}" srcOrd="0" destOrd="0" presId="urn:microsoft.com/office/officeart/2005/8/layout/chevron1"/>
    <dgm:cxn modelId="{9149DF11-7434-4CD7-83C0-230F1C3A5D4E}" srcId="{93977157-229E-405D-9DF5-99EB74908CC4}" destId="{26E958BF-539E-4C4B-916A-38F7227F5618}" srcOrd="1" destOrd="0" parTransId="{CC694432-4A31-4E1F-9EDF-6D49666D393D}" sibTransId="{BCB2C126-8E9C-4392-B2E8-6A1CE09CC2E9}"/>
    <dgm:cxn modelId="{AEF688F4-C42F-4804-BE4C-50CDDF2A2F16}" type="presOf" srcId="{BAAF5835-1EAD-4F7C-9F11-F2ACC63D5D7E}" destId="{FDFF1A55-F9F7-4305-8E0F-28DD95789944}" srcOrd="0" destOrd="0" presId="urn:microsoft.com/office/officeart/2005/8/layout/chevron1"/>
    <dgm:cxn modelId="{3BCD5F36-C8E4-43B3-86CF-6CCCDE8B4E80}" srcId="{93977157-229E-405D-9DF5-99EB74908CC4}" destId="{2333B97E-BB5A-4D34-88E6-4B64172C9138}" srcOrd="2" destOrd="0" parTransId="{9CEB661C-E9E8-454C-A4EC-E799485847FE}" sibTransId="{CD9310B8-BD00-4176-8BFF-8E0DC176CB9D}"/>
    <dgm:cxn modelId="{CDE5BF68-3C65-4C95-B45C-9F1FE432042D}" type="presParOf" srcId="{FC5730E0-D04D-43B9-8395-3A8F0495836D}" destId="{76EAAB29-D305-4688-A1AD-5885C76892AD}" srcOrd="0" destOrd="0" presId="urn:microsoft.com/office/officeart/2005/8/layout/chevron1"/>
    <dgm:cxn modelId="{8EC0D42B-186B-4A76-B72A-D123D94A7717}" type="presParOf" srcId="{FC5730E0-D04D-43B9-8395-3A8F0495836D}" destId="{85775890-DD32-412D-8118-0D5C9A7E84A7}" srcOrd="1" destOrd="0" presId="urn:microsoft.com/office/officeart/2005/8/layout/chevron1"/>
    <dgm:cxn modelId="{9F618C7A-4728-40F3-8F75-F3906E8B4E3D}" type="presParOf" srcId="{FC5730E0-D04D-43B9-8395-3A8F0495836D}" destId="{AD5546D3-C8A7-45EF-B8B5-A9C9A584A153}" srcOrd="2" destOrd="0" presId="urn:microsoft.com/office/officeart/2005/8/layout/chevron1"/>
    <dgm:cxn modelId="{82C82232-1BD3-46F1-B08F-4E33E07A29D9}" type="presParOf" srcId="{FC5730E0-D04D-43B9-8395-3A8F0495836D}" destId="{5FBCF6D2-2802-4518-8D26-C8733BE59DBA}" srcOrd="3" destOrd="0" presId="urn:microsoft.com/office/officeart/2005/8/layout/chevron1"/>
    <dgm:cxn modelId="{C5C72859-D946-4DAD-B1FE-E07657570377}" type="presParOf" srcId="{FC5730E0-D04D-43B9-8395-3A8F0495836D}" destId="{2EF8F816-E64F-43A1-B17C-C85F5BEBBBFA}" srcOrd="4" destOrd="0" presId="urn:microsoft.com/office/officeart/2005/8/layout/chevron1"/>
    <dgm:cxn modelId="{F6EE4C0B-FFD6-4190-ACC5-2B57D254D952}" type="presParOf" srcId="{FC5730E0-D04D-43B9-8395-3A8F0495836D}" destId="{6FBA1707-1BEB-46DE-A1BE-559A2E6241B3}" srcOrd="5" destOrd="0" presId="urn:microsoft.com/office/officeart/2005/8/layout/chevron1"/>
    <dgm:cxn modelId="{B2154BAC-850C-4679-B9EB-7B863EA096FB}" type="presParOf" srcId="{FC5730E0-D04D-43B9-8395-3A8F0495836D}" destId="{E4FB7CE4-525F-4D71-8F3B-B5CB8A116CC0}" srcOrd="6" destOrd="0" presId="urn:microsoft.com/office/officeart/2005/8/layout/chevron1"/>
    <dgm:cxn modelId="{4E6BDABE-3742-4D16-87AF-BE89FB86A822}" type="presParOf" srcId="{FC5730E0-D04D-43B9-8395-3A8F0495836D}" destId="{DF38104C-0693-413E-8A10-1D8F52571F23}" srcOrd="7" destOrd="0" presId="urn:microsoft.com/office/officeart/2005/8/layout/chevron1"/>
    <dgm:cxn modelId="{E714223A-9965-431D-8C00-AE6650F72376}" type="presParOf" srcId="{FC5730E0-D04D-43B9-8395-3A8F0495836D}" destId="{B7895594-EAF7-4961-96FB-433E1C5F7E5D}" srcOrd="8" destOrd="0" presId="urn:microsoft.com/office/officeart/2005/8/layout/chevron1"/>
    <dgm:cxn modelId="{81AA8F0B-9A8F-4208-AE5C-F77D07E53859}" type="presParOf" srcId="{FC5730E0-D04D-43B9-8395-3A8F0495836D}" destId="{D7F79755-C2B8-4439-9C63-8F9AEFCAA4F0}" srcOrd="9" destOrd="0" presId="urn:microsoft.com/office/officeart/2005/8/layout/chevron1"/>
    <dgm:cxn modelId="{D89ED839-BEC3-4C08-8939-8E73B9A77E91}" type="presParOf" srcId="{FC5730E0-D04D-43B9-8395-3A8F0495836D}" destId="{FDFF1A55-F9F7-4305-8E0F-28DD95789944}" srcOrd="1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EAAB29-D305-4688-A1AD-5885C76892AD}">
      <dsp:nvSpPr>
        <dsp:cNvPr id="0" name=""/>
        <dsp:cNvSpPr/>
      </dsp:nvSpPr>
      <dsp:spPr>
        <a:xfrm>
          <a:off x="2812" y="141561"/>
          <a:ext cx="1046380" cy="418552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b="1" kern="1200" dirty="0" smtClean="0">
              <a:solidFill>
                <a:schemeClr val="tx1"/>
              </a:solidFill>
            </a:rPr>
            <a:t>Sestavení hodnotícího týmu</a:t>
          </a:r>
          <a:endParaRPr lang="en-GB" sz="700" b="1" kern="1200" dirty="0">
            <a:solidFill>
              <a:schemeClr val="tx1"/>
            </a:solidFill>
          </a:endParaRPr>
        </a:p>
      </dsp:txBody>
      <dsp:txXfrm>
        <a:off x="212088" y="141561"/>
        <a:ext cx="627828" cy="418552"/>
      </dsp:txXfrm>
    </dsp:sp>
    <dsp:sp modelId="{AD5546D3-C8A7-45EF-B8B5-A9C9A584A153}">
      <dsp:nvSpPr>
        <dsp:cNvPr id="0" name=""/>
        <dsp:cNvSpPr/>
      </dsp:nvSpPr>
      <dsp:spPr>
        <a:xfrm>
          <a:off x="944555" y="141561"/>
          <a:ext cx="1046380" cy="418552"/>
        </a:xfrm>
        <a:prstGeom prst="chevron">
          <a:avLst/>
        </a:prstGeom>
        <a:solidFill>
          <a:schemeClr val="accent4">
            <a:hueOff val="2079139"/>
            <a:satOff val="-9594"/>
            <a:lumOff val="353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b="1" kern="1200" dirty="0" smtClean="0">
              <a:solidFill>
                <a:schemeClr val="tx1"/>
              </a:solidFill>
            </a:rPr>
            <a:t>Sběr a analýza podkladů hodnocení</a:t>
          </a:r>
          <a:endParaRPr lang="en-GB" sz="700" b="1" kern="1200" dirty="0">
            <a:solidFill>
              <a:schemeClr val="tx1"/>
            </a:solidFill>
          </a:endParaRPr>
        </a:p>
      </dsp:txBody>
      <dsp:txXfrm>
        <a:off x="1153831" y="141561"/>
        <a:ext cx="627828" cy="418552"/>
      </dsp:txXfrm>
    </dsp:sp>
    <dsp:sp modelId="{2EF8F816-E64F-43A1-B17C-C85F5BEBBBFA}">
      <dsp:nvSpPr>
        <dsp:cNvPr id="0" name=""/>
        <dsp:cNvSpPr/>
      </dsp:nvSpPr>
      <dsp:spPr>
        <a:xfrm>
          <a:off x="1886298" y="141561"/>
          <a:ext cx="1046380" cy="418552"/>
        </a:xfrm>
        <a:prstGeom prst="chevron">
          <a:avLst/>
        </a:prstGeom>
        <a:solidFill>
          <a:schemeClr val="accent4">
            <a:hueOff val="4158277"/>
            <a:satOff val="-19187"/>
            <a:lumOff val="706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b="1" kern="1200" dirty="0" smtClean="0">
              <a:solidFill>
                <a:schemeClr val="tx1"/>
              </a:solidFill>
            </a:rPr>
            <a:t>Výběr a aplikace analytických metod</a:t>
          </a:r>
          <a:endParaRPr lang="en-GB" sz="700" b="1" kern="1200" dirty="0">
            <a:solidFill>
              <a:schemeClr val="tx1"/>
            </a:solidFill>
          </a:endParaRPr>
        </a:p>
      </dsp:txBody>
      <dsp:txXfrm>
        <a:off x="2095574" y="141561"/>
        <a:ext cx="627828" cy="418552"/>
      </dsp:txXfrm>
    </dsp:sp>
    <dsp:sp modelId="{E4FB7CE4-525F-4D71-8F3B-B5CB8A116CC0}">
      <dsp:nvSpPr>
        <dsp:cNvPr id="0" name=""/>
        <dsp:cNvSpPr/>
      </dsp:nvSpPr>
      <dsp:spPr>
        <a:xfrm>
          <a:off x="2828040" y="141561"/>
          <a:ext cx="1046380" cy="418552"/>
        </a:xfrm>
        <a:prstGeom prst="chevron">
          <a:avLst/>
        </a:prstGeom>
        <a:solidFill>
          <a:schemeClr val="accent4">
            <a:hueOff val="6237415"/>
            <a:satOff val="-28781"/>
            <a:lumOff val="1059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2889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650" b="1" kern="1200" dirty="0" smtClean="0">
              <a:solidFill>
                <a:schemeClr val="tx1"/>
              </a:solidFill>
            </a:rPr>
            <a:t>Přiřazení bodového skóre jednotlivým odpovědím</a:t>
          </a:r>
          <a:endParaRPr lang="en-GB" sz="650" b="1" kern="1200" dirty="0">
            <a:solidFill>
              <a:schemeClr val="tx1"/>
            </a:solidFill>
          </a:endParaRPr>
        </a:p>
      </dsp:txBody>
      <dsp:txXfrm>
        <a:off x="3037316" y="141561"/>
        <a:ext cx="627828" cy="418552"/>
      </dsp:txXfrm>
    </dsp:sp>
    <dsp:sp modelId="{B7895594-EAF7-4961-96FB-433E1C5F7E5D}">
      <dsp:nvSpPr>
        <dsp:cNvPr id="0" name=""/>
        <dsp:cNvSpPr/>
      </dsp:nvSpPr>
      <dsp:spPr>
        <a:xfrm>
          <a:off x="3769783" y="141561"/>
          <a:ext cx="1046380" cy="418552"/>
        </a:xfrm>
        <a:prstGeom prst="chevron">
          <a:avLst/>
        </a:prstGeom>
        <a:solidFill>
          <a:schemeClr val="accent4">
            <a:hueOff val="8316554"/>
            <a:satOff val="-38374"/>
            <a:lumOff val="1412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b="1" kern="1200" dirty="0" smtClean="0">
              <a:solidFill>
                <a:schemeClr val="tx1"/>
              </a:solidFill>
            </a:rPr>
            <a:t>Vyhodnocení SAII</a:t>
          </a:r>
          <a:endParaRPr lang="en-GB" sz="700" b="1" kern="1200" dirty="0">
            <a:solidFill>
              <a:schemeClr val="tx1"/>
            </a:solidFill>
          </a:endParaRPr>
        </a:p>
      </dsp:txBody>
      <dsp:txXfrm>
        <a:off x="3979059" y="141561"/>
        <a:ext cx="627828" cy="418552"/>
      </dsp:txXfrm>
    </dsp:sp>
    <dsp:sp modelId="{FDFF1A55-F9F7-4305-8E0F-28DD95789944}">
      <dsp:nvSpPr>
        <dsp:cNvPr id="0" name=""/>
        <dsp:cNvSpPr/>
      </dsp:nvSpPr>
      <dsp:spPr>
        <a:xfrm>
          <a:off x="4711526" y="141561"/>
          <a:ext cx="1046380" cy="418552"/>
        </a:xfrm>
        <a:prstGeom prst="chevron">
          <a:avLst/>
        </a:prstGeom>
        <a:solidFill>
          <a:schemeClr val="accent1">
            <a:lumMod val="5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b="1" kern="1200" dirty="0" smtClean="0"/>
            <a:t>Rozhodnutí o nápravných opatřeních</a:t>
          </a:r>
          <a:endParaRPr lang="en-GB" sz="700" b="1" kern="1200" dirty="0"/>
        </a:p>
      </dsp:txBody>
      <dsp:txXfrm>
        <a:off x="4920802" y="141561"/>
        <a:ext cx="627828" cy="4185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B5F8A-2C8F-49CB-B2ED-0F9FED34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928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Špaček</dc:creator>
  <cp:keywords/>
  <dc:description/>
  <cp:lastModifiedBy>Jitka Srpová</cp:lastModifiedBy>
  <cp:revision>5</cp:revision>
  <cp:lastPrinted>2016-04-19T08:50:00Z</cp:lastPrinted>
  <dcterms:created xsi:type="dcterms:W3CDTF">2016-01-28T13:02:00Z</dcterms:created>
  <dcterms:modified xsi:type="dcterms:W3CDTF">2016-04-19T12:01:00Z</dcterms:modified>
</cp:coreProperties>
</file>