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1770" w14:textId="77777777" w:rsidR="007F0E71" w:rsidRDefault="007F0E71" w:rsidP="007F0E71"/>
    <w:p w14:paraId="19D30865" w14:textId="77777777" w:rsidR="007F0E71" w:rsidRDefault="007F0E71" w:rsidP="007F0E71"/>
    <w:p w14:paraId="4FF5C2F6" w14:textId="77777777" w:rsidR="007F0E71" w:rsidRDefault="007F0E71" w:rsidP="007F0E71">
      <w:pPr>
        <w:pStyle w:val="gmail--wm-msonormal"/>
        <w:spacing w:before="0" w:beforeAutospacing="0" w:after="160" w:afterAutospacing="0" w:line="252" w:lineRule="auto"/>
      </w:pPr>
      <w:r>
        <w:rPr>
          <w:b/>
          <w:bCs/>
          <w:sz w:val="24"/>
          <w:szCs w:val="24"/>
        </w:rPr>
        <w:t>Mimořádný rok 2022: „Biliónová“ energetika těžila z nebývalých okolností  </w:t>
      </w:r>
    </w:p>
    <w:p w14:paraId="22454105" w14:textId="77777777" w:rsidR="007F0E71" w:rsidRDefault="007F0E71" w:rsidP="007F0E71">
      <w:pPr>
        <w:pStyle w:val="gmail--wm-msonormal"/>
        <w:spacing w:before="0" w:beforeAutospacing="0" w:after="160" w:afterAutospacing="0" w:line="252" w:lineRule="auto"/>
      </w:pPr>
      <w:r>
        <w:rPr>
          <w:sz w:val="24"/>
          <w:szCs w:val="24"/>
        </w:rPr>
        <w:t>Loni už druhý rok v řadě nevévodil žebříčku Czech Top 100 jeho dlouholetý suverén číslo jedna, společnost Škoda Auto. Ale to je pochopitelné. Největší tuzemská automobilka se musela nadále vypořádávat se zadrhnutím mezinárodních dodavatelsko-odběratelských řetězců. K němu došlo ještě během pandemie, ovšem přetrvávalo i loni. Byť se situace v globální logistice – týkající se například čipů do aut – postupně zlepšovala. Škoda Auto navíc loni v důsledku invaze Ruska na Ukrajinu vyklidila právě ruský trh, jenž pro ni byl ještě roku 2021 druhý největší.  </w:t>
      </w:r>
    </w:p>
    <w:p w14:paraId="55DC14A3" w14:textId="77777777" w:rsidR="007F0E71" w:rsidRDefault="007F0E71" w:rsidP="007F0E71">
      <w:pPr>
        <w:pStyle w:val="gmail--wm-msonormal"/>
        <w:spacing w:before="0" w:beforeAutospacing="0" w:after="160" w:afterAutospacing="0" w:line="252" w:lineRule="auto"/>
      </w:pPr>
      <w:r>
        <w:rPr>
          <w:sz w:val="24"/>
          <w:szCs w:val="24"/>
        </w:rPr>
        <w:t>            První příčku tak místo Škody, jež skončila druhá, stejně jako předloni obsadil Energetický a průmyslový holding. Jak první firma v historii se svými tržbami přiblížil astronomické hodnotě jednoho bilionu korun, když zaznamenal obrat neuvěřitelných takřka 912 miliard korun. Jedná se v celé historii žebříčku o zcela nebývalý skok. Vždyť ještě v roce 2021 se právě Energetický a průmyslový holding – opět – jako první firma v historii přiblížil psychologicky významné metě 500 miliard korun. Od té holding předloni dělilo necelých patnáct miliard. Za jediný rok tak tuto do té doby nedosažitelnou metu nejen překonal, ale překonal ji takřka dvojnásobně!</w:t>
      </w:r>
    </w:p>
    <w:p w14:paraId="7710976A" w14:textId="77777777" w:rsidR="007F0E71" w:rsidRDefault="007F0E71" w:rsidP="007F0E71">
      <w:pPr>
        <w:pStyle w:val="gmail--wm-msonormal"/>
        <w:spacing w:before="0" w:beforeAutospacing="0" w:after="160" w:afterAutospacing="0" w:line="252" w:lineRule="auto"/>
      </w:pPr>
      <w:r>
        <w:rPr>
          <w:sz w:val="24"/>
          <w:szCs w:val="24"/>
        </w:rPr>
        <w:t>            Mimořádné pohyby v žebříčku jsou samozřejmě odrazem mimořádných okolností. Nejprve tedy zmíněné pandemie a posléze vpádu ruských vojsk na Ukrajinu, v jehož důsledku zdražily energie v EU – v čele s plynem a elektřinou – na historická maxima. Tato historická maxima jsou stěžejním zdrojem nejen inflace, nejvyšší za několik desetiletí, s níž se Česko a EU obecně stále potýká, ale právě také historicky zcela bezpříkladných tržeb energetických společností v čele s Energetickým a průmyslovým holdingem.</w:t>
      </w:r>
    </w:p>
    <w:p w14:paraId="528DB46B" w14:textId="77777777" w:rsidR="007F0E71" w:rsidRDefault="007F0E71" w:rsidP="007F0E71">
      <w:pPr>
        <w:pStyle w:val="gmail--wm-msonormal"/>
        <w:spacing w:before="0" w:beforeAutospacing="0" w:after="160" w:afterAutospacing="0" w:line="252" w:lineRule="auto"/>
        <w:ind w:firstLine="708"/>
      </w:pPr>
      <w:r>
        <w:rPr>
          <w:sz w:val="24"/>
          <w:szCs w:val="24"/>
        </w:rPr>
        <w:t>Loňské rekordní tržby Energetického a průmyslového holdingu má konkrétně na svědomí vlastní zaměření podniku, tedy zejména kombinace výroby elektřiny a přenosu, distribuce a skladování plynu, stejně jako distribuce elektřiny a tepla. To vše holding zastřešuje. Rekordní burzovní ceny plynu a elektřiny v EU, které přinesl loňský rok, však od srpna, kdy kulminovaly, dramaticky klesají. Například referenční cena zemního plynu v EU spadla od loňského srpna o více než 90 procent. Letošní vývoj tedy představuje výrazný tlak na pokles tržeb Energetického a průmyslového holdingu a je tudíž málo pravděpodobné, že by mohl pokořit zmíněnou metu tržeb na úrovni bilionu korun.        </w:t>
      </w:r>
    </w:p>
    <w:p w14:paraId="214F50E7" w14:textId="77777777" w:rsidR="007F0E71" w:rsidRDefault="007F0E71" w:rsidP="007F0E71">
      <w:pPr>
        <w:pStyle w:val="gmail--wm-msonormal"/>
        <w:spacing w:before="0" w:beforeAutospacing="0" w:after="160" w:afterAutospacing="0" w:line="252" w:lineRule="auto"/>
      </w:pPr>
      <w:r>
        <w:rPr>
          <w:sz w:val="24"/>
          <w:szCs w:val="24"/>
        </w:rPr>
        <w:t>            Na třetím místě žebříčku se loni – stejně jako v letech 2020 a 2021 – umístil další energetický podnik, ČEZ. I ten má za sebou rekordní rok, podobně jako Energetický a průmyslový holding. Svědčily mu rekordně vysoké ceny elektřiny a také plynu. O tom ostatně svědčí i to, že valná hromada ČEZ na svém zasedání už o nadcházejícím pondělí „odklepne“ historicky rekordní dividendu. Ta nakonec bude podle všeho činit 145 korun na akcii, v souladu s návrhem ministerstva financí. Dosud nejvyšší dividendu přitom ČEZ vyplácel v roce 2010. Tehdy ovšem činila „jen“ 53 korun na akcii a byla tak takřka třikrát nižší než pravděpodobná dividenda letošní.   </w:t>
      </w:r>
    </w:p>
    <w:p w14:paraId="7ADF7433" w14:textId="77777777" w:rsidR="007F0E71" w:rsidRDefault="007F0E71" w:rsidP="007F0E71">
      <w:pPr>
        <w:pStyle w:val="gmail--wm-msonormal"/>
        <w:spacing w:before="0" w:beforeAutospacing="0" w:after="160" w:afterAutospacing="0" w:line="252" w:lineRule="auto"/>
      </w:pPr>
      <w:r>
        <w:rPr>
          <w:sz w:val="24"/>
          <w:szCs w:val="24"/>
        </w:rPr>
        <w:t xml:space="preserve">            Loňské silné postavení energetiky jakožto sektoru potvrzují nejen výsledky Energetického a průmyslového holdingu a podniku ČEZ, ale také fakt, že v první desítce nejvýznamnějších tuzemských firem je hned pět zástupců právě energetiky. Vedle dvou zmíněných jsou to Orlen Unipetrol, </w:t>
      </w:r>
      <w:proofErr w:type="spellStart"/>
      <w:r>
        <w:rPr>
          <w:sz w:val="24"/>
          <w:szCs w:val="24"/>
        </w:rPr>
        <w:t>Alpiq</w:t>
      </w:r>
      <w:proofErr w:type="spellEnd"/>
      <w:r>
        <w:rPr>
          <w:sz w:val="24"/>
          <w:szCs w:val="24"/>
        </w:rPr>
        <w:t xml:space="preserve"> </w:t>
      </w:r>
      <w:proofErr w:type="spellStart"/>
      <w:r>
        <w:rPr>
          <w:sz w:val="24"/>
          <w:szCs w:val="24"/>
        </w:rPr>
        <w:t>Energy</w:t>
      </w:r>
      <w:proofErr w:type="spellEnd"/>
      <w:r>
        <w:rPr>
          <w:sz w:val="24"/>
          <w:szCs w:val="24"/>
        </w:rPr>
        <w:t xml:space="preserve"> a Čepro, což je státní podnik zabývající se přepravou, skladováním a prodejem ropných produktů. Také právě ropné produkty – v čele s naftou a benzínem – loni vykázaly historicky zcela rekordní ceny, opět v důsledku války na Ukrajině a souvisejících západních sankcí.    </w:t>
      </w:r>
    </w:p>
    <w:p w14:paraId="6979B0E6" w14:textId="13CA009E" w:rsidR="007F0E71" w:rsidRDefault="007F0E71" w:rsidP="007F0E71">
      <w:pPr>
        <w:pStyle w:val="gmail--wm-msonormal"/>
        <w:spacing w:before="0" w:beforeAutospacing="0" w:after="160" w:afterAutospacing="0" w:line="252" w:lineRule="auto"/>
      </w:pPr>
      <w:r>
        <w:rPr>
          <w:sz w:val="24"/>
          <w:szCs w:val="24"/>
        </w:rPr>
        <w:t xml:space="preserve">        </w:t>
      </w:r>
    </w:p>
    <w:p w14:paraId="7C8468CD" w14:textId="77777777" w:rsidR="007F0E71" w:rsidRDefault="007F0E71" w:rsidP="007F0E71">
      <w:pPr>
        <w:pStyle w:val="gmail--wm-msonormal"/>
        <w:spacing w:before="0" w:beforeAutospacing="0" w:after="0" w:afterAutospacing="0" w:line="252" w:lineRule="auto"/>
      </w:pPr>
      <w:r>
        <w:rPr>
          <w:sz w:val="24"/>
          <w:szCs w:val="24"/>
        </w:rPr>
        <w:t>Lukáš Kovanda, hlavní ekonom, Trinity Bank</w:t>
      </w:r>
    </w:p>
    <w:p w14:paraId="7EB58D56" w14:textId="77777777" w:rsidR="007F0E71" w:rsidRDefault="007F0E71" w:rsidP="007F0E71">
      <w:pPr>
        <w:pStyle w:val="gmail--wm-msonormal"/>
        <w:spacing w:before="0" w:beforeAutospacing="0" w:after="0" w:afterAutospacing="0"/>
      </w:pPr>
      <w:r>
        <w:rPr>
          <w:b/>
          <w:bCs/>
          <w:color w:val="666666"/>
        </w:rPr>
        <w:t xml:space="preserve">Lukáš Kovanda, Ph.D. </w:t>
      </w:r>
      <w:r>
        <w:rPr>
          <w:color w:val="666666"/>
        </w:rPr>
        <w:t xml:space="preserve">Hlavní ekonom, </w:t>
      </w:r>
      <w:hyperlink r:id="rId4" w:history="1">
        <w:r>
          <w:rPr>
            <w:rStyle w:val="Hyperlink"/>
          </w:rPr>
          <w:t>Trinity Bank</w:t>
        </w:r>
      </w:hyperlink>
      <w:r>
        <w:t xml:space="preserve"> </w:t>
      </w:r>
      <w:r>
        <w:rPr>
          <w:color w:val="666666"/>
        </w:rPr>
        <w:t>Senovážné náměstí 1588/4, 110 00 Praha 1</w:t>
      </w:r>
    </w:p>
    <w:p w14:paraId="2A51B270" w14:textId="4819F921" w:rsidR="006848DA" w:rsidRDefault="007F0E71" w:rsidP="007F0E71">
      <w:pPr>
        <w:pStyle w:val="gmail--wm-msonormal"/>
        <w:spacing w:before="0" w:beforeAutospacing="0" w:after="0" w:afterAutospacing="0"/>
      </w:pPr>
      <w:r>
        <w:rPr>
          <w:color w:val="666666"/>
        </w:rPr>
        <w:t>+420-602-642-565 | </w:t>
      </w:r>
      <w:hyperlink r:id="rId5" w:history="1">
        <w:r>
          <w:rPr>
            <w:rStyle w:val="Hyperlink"/>
          </w:rPr>
          <w:t>lukas@lukaskovanda.cz</w:t>
        </w:r>
      </w:hyperlink>
      <w:r>
        <w:rPr>
          <w:color w:val="666666"/>
        </w:rPr>
        <w:t xml:space="preserve"> </w:t>
      </w:r>
      <w:hyperlink r:id="rId6" w:history="1">
        <w:r>
          <w:rPr>
            <w:rStyle w:val="Hyperlink"/>
          </w:rPr>
          <w:t>www.lukaskovanda.cz</w:t>
        </w:r>
      </w:hyperlink>
    </w:p>
    <w:sectPr w:rsidR="006848DA" w:rsidSect="007F0E71">
      <w:pgSz w:w="11906" w:h="16838"/>
      <w:pgMar w:top="993"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71"/>
    <w:rsid w:val="006848DA"/>
    <w:rsid w:val="007F0E71"/>
    <w:rsid w:val="00FB0C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DA61"/>
  <w15:chartTrackingRefBased/>
  <w15:docId w15:val="{E7F20CAA-D296-4708-B0E5-E879911B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71"/>
    <w:pPr>
      <w:spacing w:after="0" w:line="240" w:lineRule="auto"/>
    </w:pPr>
    <w:rPr>
      <w:rFonts w:ascii="Calibri" w:hAnsi="Calibri" w:cs="Calibri"/>
      <w:kern w:val="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E71"/>
    <w:rPr>
      <w:color w:val="0000FF"/>
      <w:u w:val="single"/>
    </w:rPr>
  </w:style>
  <w:style w:type="paragraph" w:customStyle="1" w:styleId="gmail--wm-msonormal">
    <w:name w:val="gmail--wm-msonormal"/>
    <w:basedOn w:val="Normal"/>
    <w:rsid w:val="007F0E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kaskovanda.cz/" TargetMode="External"/><Relationship Id="rId5" Type="http://schemas.openxmlformats.org/officeDocument/2006/relationships/hyperlink" Target="mailto:lukas@lukaskovanda.cz" TargetMode="External"/><Relationship Id="rId4" Type="http://schemas.openxmlformats.org/officeDocument/2006/relationships/hyperlink" Target="https://www.trinityban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588</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David</dc:creator>
  <cp:keywords/>
  <dc:description/>
  <cp:lastModifiedBy>Tomáš David</cp:lastModifiedBy>
  <cp:revision>1</cp:revision>
  <cp:lastPrinted>2023-06-23T11:39:00Z</cp:lastPrinted>
  <dcterms:created xsi:type="dcterms:W3CDTF">2023-06-23T11:28:00Z</dcterms:created>
  <dcterms:modified xsi:type="dcterms:W3CDTF">2023-06-23T11:40:00Z</dcterms:modified>
</cp:coreProperties>
</file>